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854B0F1" w:rsidR="008A22CF" w:rsidRPr="0032778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27786">
        <w:t>3GPP TSG-RAN WG4</w:t>
      </w:r>
      <w:r w:rsidR="001D4850" w:rsidRPr="00327786">
        <w:t xml:space="preserve"> Meeting</w:t>
      </w:r>
      <w:r w:rsidR="005071CC" w:rsidRPr="00327786">
        <w:t xml:space="preserve"> </w:t>
      </w:r>
      <w:r w:rsidR="005D1E89" w:rsidRPr="00327786">
        <w:t>#</w:t>
      </w:r>
      <w:r w:rsidR="00615DC1" w:rsidRPr="00327786">
        <w:t>9</w:t>
      </w:r>
      <w:r w:rsidR="00CB7A47">
        <w:t>9</w:t>
      </w:r>
      <w:r w:rsidR="00B85E70" w:rsidRPr="00327786">
        <w:t>-e</w:t>
      </w:r>
      <w:r w:rsidRPr="00327786">
        <w:tab/>
      </w:r>
      <w:r w:rsidR="004B60B9" w:rsidRPr="00327786">
        <w:rPr>
          <w:szCs w:val="24"/>
        </w:rPr>
        <w:t>R4-</w:t>
      </w:r>
      <w:r w:rsidR="006D1D65" w:rsidRPr="00327786">
        <w:rPr>
          <w:szCs w:val="24"/>
        </w:rPr>
        <w:t>2</w:t>
      </w:r>
      <w:r w:rsidR="002D2515" w:rsidRPr="00327786">
        <w:rPr>
          <w:szCs w:val="24"/>
        </w:rPr>
        <w:t>1</w:t>
      </w:r>
      <w:r w:rsidR="00F05A4C">
        <w:rPr>
          <w:szCs w:val="24"/>
        </w:rPr>
        <w:t>10780</w:t>
      </w:r>
    </w:p>
    <w:p w14:paraId="500197F1" w14:textId="4419FF5C" w:rsidR="005D1E89" w:rsidRPr="00327786" w:rsidRDefault="00B85E70" w:rsidP="005D1E89">
      <w:pPr>
        <w:pStyle w:val="3GPPHeader"/>
      </w:pPr>
      <w:bookmarkStart w:id="1" w:name="OLE_LINK3"/>
      <w:bookmarkStart w:id="2" w:name="OLE_LINK4"/>
      <w:r w:rsidRPr="00327786">
        <w:t xml:space="preserve">Electronic </w:t>
      </w:r>
      <w:r w:rsidR="00533490" w:rsidRPr="00327786">
        <w:t>M</w:t>
      </w:r>
      <w:r w:rsidRPr="00327786">
        <w:t>eeting</w:t>
      </w:r>
      <w:r w:rsidR="00526BF8" w:rsidRPr="00327786">
        <w:t xml:space="preserve">, </w:t>
      </w:r>
      <w:r w:rsidR="00CB7A47">
        <w:t>19</w:t>
      </w:r>
      <w:r w:rsidR="002D2515" w:rsidRPr="00327786">
        <w:t xml:space="preserve"> </w:t>
      </w:r>
      <w:r w:rsidR="00CB7A47">
        <w:t>May</w:t>
      </w:r>
      <w:r w:rsidR="00615DC1" w:rsidRPr="00327786">
        <w:t xml:space="preserve"> </w:t>
      </w:r>
      <w:r w:rsidR="00526BF8" w:rsidRPr="00327786">
        <w:t xml:space="preserve">– </w:t>
      </w:r>
      <w:r w:rsidR="00CB7A47">
        <w:t>27</w:t>
      </w:r>
      <w:r w:rsidR="005D1E89" w:rsidRPr="00327786">
        <w:t xml:space="preserve"> </w:t>
      </w:r>
      <w:r w:rsidR="00CB7A47">
        <w:t>May</w:t>
      </w:r>
      <w:r w:rsidR="00F956B1" w:rsidRPr="00327786">
        <w:t xml:space="preserve"> </w:t>
      </w:r>
      <w:r w:rsidR="005D1E89" w:rsidRPr="00327786">
        <w:t>20</w:t>
      </w:r>
      <w:r w:rsidR="006D1D65" w:rsidRPr="00327786">
        <w:t>2</w:t>
      </w:r>
      <w:r w:rsidR="002D2515" w:rsidRPr="00327786">
        <w:t>1</w:t>
      </w:r>
    </w:p>
    <w:bookmarkEnd w:id="1"/>
    <w:bookmarkEnd w:id="2"/>
    <w:p w14:paraId="65F55581" w14:textId="77777777" w:rsidR="008A22CF" w:rsidRPr="00327786" w:rsidRDefault="008A22CF" w:rsidP="008A22CF">
      <w:pPr>
        <w:pStyle w:val="3GPPHeader"/>
      </w:pPr>
    </w:p>
    <w:p w14:paraId="0FDE225D" w14:textId="7624836F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Agenda Item:</w:t>
      </w:r>
      <w:r w:rsidRPr="00327786">
        <w:rPr>
          <w:sz w:val="22"/>
        </w:rPr>
        <w:tab/>
      </w:r>
      <w:r w:rsidR="00CB7A47">
        <w:rPr>
          <w:sz w:val="22"/>
        </w:rPr>
        <w:t>6.1.5.1</w:t>
      </w:r>
    </w:p>
    <w:p w14:paraId="57D8FDDC" w14:textId="59E8C7E0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Source:</w:t>
      </w:r>
      <w:r w:rsidRPr="00327786">
        <w:rPr>
          <w:sz w:val="22"/>
        </w:rPr>
        <w:tab/>
        <w:t>Ericsson</w:t>
      </w:r>
    </w:p>
    <w:p w14:paraId="3A8FC3FA" w14:textId="053F971E" w:rsidR="008A22CF" w:rsidRPr="00327786" w:rsidRDefault="008A22CF" w:rsidP="00603D49">
      <w:pPr>
        <w:pStyle w:val="3GPPHeader"/>
        <w:ind w:left="1701" w:hanging="1701"/>
        <w:rPr>
          <w:sz w:val="22"/>
        </w:rPr>
      </w:pPr>
      <w:r w:rsidRPr="00327786">
        <w:rPr>
          <w:sz w:val="22"/>
        </w:rPr>
        <w:t>Title:</w:t>
      </w:r>
      <w:r w:rsidRPr="00327786">
        <w:rPr>
          <w:sz w:val="22"/>
        </w:rPr>
        <w:tab/>
      </w:r>
      <w:r w:rsidR="00705B61">
        <w:rPr>
          <w:sz w:val="22"/>
        </w:rPr>
        <w:t>SSB monitoring capability for CBD</w:t>
      </w:r>
    </w:p>
    <w:p w14:paraId="385E2C9B" w14:textId="6BB75015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Document for:</w:t>
      </w:r>
      <w:r w:rsidRPr="00327786">
        <w:rPr>
          <w:sz w:val="22"/>
        </w:rPr>
        <w:tab/>
      </w:r>
      <w:r w:rsidR="0064423E" w:rsidRPr="00327786">
        <w:rPr>
          <w:sz w:val="22"/>
        </w:rPr>
        <w:t>Discussion</w:t>
      </w:r>
    </w:p>
    <w:p w14:paraId="691BCF8B" w14:textId="3135ABBC" w:rsidR="005D0A8E" w:rsidRPr="00327786" w:rsidRDefault="009B01F8" w:rsidP="005D0A8E">
      <w:pPr>
        <w:pStyle w:val="Heading1"/>
        <w:rPr>
          <w:lang w:val="en-US"/>
        </w:rPr>
      </w:pPr>
      <w:r w:rsidRPr="00327786">
        <w:rPr>
          <w:lang w:val="en-US"/>
        </w:rPr>
        <w:t>1</w:t>
      </w:r>
      <w:r w:rsidRPr="00327786">
        <w:rPr>
          <w:lang w:val="en-US"/>
        </w:rPr>
        <w:tab/>
        <w:t>Introduction</w:t>
      </w:r>
    </w:p>
    <w:p w14:paraId="0C1C0913" w14:textId="0803A336" w:rsidR="00A6415A" w:rsidRDefault="00670A3C" w:rsidP="00CB7A47">
      <w:r w:rsidRPr="00327786">
        <w:t>RAN4</w:t>
      </w:r>
      <w:r w:rsidR="0010703D" w:rsidRPr="00327786">
        <w:t>#98</w:t>
      </w:r>
      <w:r w:rsidR="00CB7A47">
        <w:t xml:space="preserve">bis-e agreed with </w:t>
      </w:r>
      <w:r w:rsidR="00D24A58">
        <w:t xml:space="preserve">the way forward on </w:t>
      </w:r>
      <w:r w:rsidR="00790E89">
        <w:t xml:space="preserve">terminology update due to CSSF as a part of </w:t>
      </w:r>
      <w:r w:rsidR="00D24A58">
        <w:t xml:space="preserve">NR-U RRM core requirements </w:t>
      </w:r>
      <w:r w:rsidR="003E7C5D">
        <w:fldChar w:fldCharType="begin"/>
      </w:r>
      <w:r w:rsidR="003E7C5D">
        <w:instrText xml:space="preserve"> REF _Ref70959263 \r \h </w:instrText>
      </w:r>
      <w:r w:rsidR="003E7C5D">
        <w:fldChar w:fldCharType="separate"/>
      </w:r>
      <w:r w:rsidR="003E7C5D">
        <w:t>[1]</w:t>
      </w:r>
      <w:r w:rsidR="003E7C5D">
        <w:fldChar w:fldCharType="end"/>
      </w:r>
      <w:r w:rsidR="003E7C5D">
        <w:t xml:space="preserve">, and the remaining open issue is the </w:t>
      </w:r>
      <w:r w:rsidR="00A6415A">
        <w:t>determination of</w:t>
      </w:r>
      <w:r w:rsidR="00A6415A" w:rsidRPr="00A6415A">
        <w:t xml:space="preserve"> the availability of SSB occasions</w:t>
      </w:r>
      <w:r w:rsidR="00A6415A">
        <w:t xml:space="preserve"> for CBD.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15A" w14:paraId="54F9BB72" w14:textId="77777777" w:rsidTr="00A6415A">
        <w:tc>
          <w:tcPr>
            <w:tcW w:w="9629" w:type="dxa"/>
          </w:tcPr>
          <w:p w14:paraId="391907A5" w14:textId="77777777" w:rsidR="00A6415A" w:rsidRDefault="00A6415A" w:rsidP="00CB7A47">
            <w:r w:rsidRPr="00A6415A">
              <w:t>General: Terminology updates due to CSSF</w:t>
            </w:r>
          </w:p>
          <w:p w14:paraId="7FE9AF85" w14:textId="77777777" w:rsidR="00A6415A" w:rsidRPr="00A6415A" w:rsidRDefault="00A6415A" w:rsidP="00A6415A">
            <w:pPr>
              <w:pStyle w:val="ListParagraph"/>
              <w:numPr>
                <w:ilvl w:val="0"/>
                <w:numId w:val="14"/>
              </w:numPr>
            </w:pPr>
            <w:r w:rsidRPr="00A6415A">
              <w:t>For RLM: The UE is not required to determine the availability of SSB occasions more frequent than once per L1 indication interval.</w:t>
            </w:r>
          </w:p>
          <w:p w14:paraId="42FF82A5" w14:textId="77777777" w:rsidR="00A6415A" w:rsidRPr="00A6415A" w:rsidRDefault="00A6415A" w:rsidP="00A6415A">
            <w:pPr>
              <w:pStyle w:val="ListParagraph"/>
              <w:numPr>
                <w:ilvl w:val="0"/>
                <w:numId w:val="14"/>
              </w:numPr>
            </w:pPr>
            <w:r w:rsidRPr="00A6415A">
              <w:t>For CBD</w:t>
            </w:r>
          </w:p>
          <w:p w14:paraId="1FD54D0D" w14:textId="5F43BB32" w:rsidR="00A6415A" w:rsidRDefault="00A6415A" w:rsidP="00A6415A">
            <w:pPr>
              <w:pStyle w:val="ListParagraph"/>
              <w:numPr>
                <w:ilvl w:val="1"/>
                <w:numId w:val="14"/>
              </w:numPr>
            </w:pPr>
            <w:r w:rsidRPr="00A6415A">
              <w:t>FFS whether the UE is not required to determine the availability of SSB occasions more frequent than once per P*DRX cycle length when configured with DRX.</w:t>
            </w:r>
          </w:p>
        </w:tc>
      </w:tr>
    </w:tbl>
    <w:p w14:paraId="2A11A956" w14:textId="298EF850" w:rsidR="00A6415A" w:rsidRDefault="00A6415A" w:rsidP="00CB7A47"/>
    <w:p w14:paraId="56AAB2C8" w14:textId="1C5D42E5" w:rsidR="00DD3554" w:rsidRPr="00327786" w:rsidRDefault="003C48CF" w:rsidP="008807A7">
      <w:pPr>
        <w:pStyle w:val="Heading1"/>
        <w:rPr>
          <w:lang w:val="en-US"/>
        </w:rPr>
      </w:pPr>
      <w:r w:rsidRPr="00327786">
        <w:rPr>
          <w:lang w:val="en-US"/>
        </w:rPr>
        <w:t>2</w:t>
      </w:r>
      <w:r w:rsidRPr="00327786">
        <w:rPr>
          <w:lang w:val="en-US"/>
        </w:rPr>
        <w:tab/>
        <w:t>Discussion</w:t>
      </w:r>
    </w:p>
    <w:p w14:paraId="01F13798" w14:textId="57426D00" w:rsidR="003A0B8A" w:rsidRDefault="00861E34" w:rsidP="00B0773A">
      <w:r>
        <w:t xml:space="preserve">For the terminology for </w:t>
      </w:r>
      <w:r w:rsidR="003D6A2D">
        <w:t xml:space="preserve">SSB-based </w:t>
      </w:r>
      <w:r>
        <w:t>RLM, it was agreed that t</w:t>
      </w:r>
      <w:r w:rsidRPr="00A6415A">
        <w:t>he UE is not required to determine the availability of SSB occasions more frequent than once per L1 indication interval</w:t>
      </w:r>
      <w:r>
        <w:t xml:space="preserve">, where L1 indication interval </w:t>
      </w:r>
      <w:r w:rsidR="002C20ED">
        <w:t xml:space="preserve">with DRX </w:t>
      </w:r>
      <w:r>
        <w:t xml:space="preserve">is </w:t>
      </w:r>
      <w:r w:rsidR="00C47C1E">
        <w:t>specified</w:t>
      </w:r>
      <w:r>
        <w:t xml:space="preserve"> as follows</w:t>
      </w:r>
      <w:r w:rsidR="0002774A">
        <w:t xml:space="preserve"> (TS 38.133 8.1A.5)</w:t>
      </w:r>
      <w:r>
        <w:t xml:space="preserve">: </w:t>
      </w:r>
    </w:p>
    <w:p w14:paraId="6FD1CF08" w14:textId="5D373429" w:rsidR="002C20ED" w:rsidRDefault="002C20ED" w:rsidP="002C20ED">
      <w:pPr>
        <w:pStyle w:val="ListParagraph"/>
        <w:numPr>
          <w:ilvl w:val="0"/>
          <w:numId w:val="15"/>
        </w:numPr>
      </w:pPr>
      <w:r>
        <w:t>T</w:t>
      </w:r>
      <w:r w:rsidRPr="002C20ED">
        <w:rPr>
          <w:vertAlign w:val="subscript"/>
        </w:rPr>
        <w:t>Indication_interval,CCA</w:t>
      </w:r>
      <w:r>
        <w:t xml:space="preserve"> = Max(10ms, 1.5 × DRX_cycle_length, 1.5 × T</w:t>
      </w:r>
      <w:r w:rsidRPr="002C20ED">
        <w:rPr>
          <w:vertAlign w:val="subscript"/>
        </w:rPr>
        <w:t>RLM-RS,M</w:t>
      </w:r>
      <w:r>
        <w:t>)) if DRX</w:t>
      </w:r>
      <w:r w:rsidR="009B7D19">
        <w:t>_</w:t>
      </w:r>
      <w:r>
        <w:t xml:space="preserve">cycle_length </w:t>
      </w:r>
      <w:r w:rsidR="009B7D19">
        <w:rPr>
          <w:rFonts w:cs="Calibri"/>
        </w:rPr>
        <w:t>≤</w:t>
      </w:r>
      <w:r w:rsidR="009B7D19">
        <w:t xml:space="preserve"> </w:t>
      </w:r>
      <w:r>
        <w:t>320ms</w:t>
      </w:r>
    </w:p>
    <w:p w14:paraId="57F3A904" w14:textId="7CCD9E4A" w:rsidR="002C20ED" w:rsidRDefault="002C20ED" w:rsidP="002C20ED">
      <w:pPr>
        <w:pStyle w:val="ListParagraph"/>
        <w:numPr>
          <w:ilvl w:val="0"/>
          <w:numId w:val="15"/>
        </w:numPr>
      </w:pPr>
      <w:r>
        <w:t>T</w:t>
      </w:r>
      <w:r w:rsidRPr="002C20ED">
        <w:rPr>
          <w:vertAlign w:val="subscript"/>
        </w:rPr>
        <w:t>Indication_interval,CCA</w:t>
      </w:r>
      <w:r>
        <w:t xml:space="preserve"> = DRX_cycle_length if DRX</w:t>
      </w:r>
      <w:r w:rsidR="009B7D19">
        <w:t>_</w:t>
      </w:r>
      <w:r>
        <w:t xml:space="preserve">cycle_length </w:t>
      </w:r>
      <w:r w:rsidR="009B7D19">
        <w:t>&gt;</w:t>
      </w:r>
      <w:r>
        <w:t xml:space="preserve"> 320ms.</w:t>
      </w:r>
    </w:p>
    <w:p w14:paraId="151FF0A7" w14:textId="264F9C6F" w:rsidR="00843343" w:rsidRDefault="00843343" w:rsidP="00B0773A">
      <w:r>
        <w:t xml:space="preserve">In our understanding, L1 indication interval for RLM is derived from </w:t>
      </w:r>
      <w:r w:rsidR="00DC27F0">
        <w:t xml:space="preserve">the </w:t>
      </w:r>
      <w:r>
        <w:t xml:space="preserve">RLM evaluation period as shown in </w:t>
      </w:r>
      <w:r>
        <w:fldChar w:fldCharType="begin"/>
      </w:r>
      <w:r>
        <w:instrText xml:space="preserve"> REF _Ref71031776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DC27F0">
        <w:t>For</w:t>
      </w:r>
      <w:r w:rsidR="002F3743">
        <w:t xml:space="preserve"> DRX </w:t>
      </w:r>
      <w:r w:rsidR="00DC27F0">
        <w:t>with</w:t>
      </w:r>
      <w:r>
        <w:t xml:space="preserve"> </w:t>
      </w:r>
      <w:r w:rsidR="002F3743">
        <w:t>DRX_cycle_</w:t>
      </w:r>
      <w:r>
        <w:t>lengt</w:t>
      </w:r>
      <w:r w:rsidR="002F3743">
        <w:t>h</w:t>
      </w:r>
      <w:r>
        <w:t xml:space="preserve"> </w:t>
      </w:r>
      <w:r>
        <w:rPr>
          <w:rFonts w:cs="Calibri"/>
        </w:rPr>
        <w:t>≤</w:t>
      </w:r>
      <w:r>
        <w:t xml:space="preserve"> 320ms, </w:t>
      </w:r>
      <w:r w:rsidR="002F3743">
        <w:t>the L1 indication depends on the configuration of T</w:t>
      </w:r>
      <w:r w:rsidR="002F3743" w:rsidRPr="002F3743">
        <w:rPr>
          <w:vertAlign w:val="subscript"/>
        </w:rPr>
        <w:t>SSB</w:t>
      </w:r>
      <w:r w:rsidR="002F3743">
        <w:t xml:space="preserve"> and T</w:t>
      </w:r>
      <w:r w:rsidR="002F3743" w:rsidRPr="002F3743">
        <w:rPr>
          <w:vertAlign w:val="subscript"/>
        </w:rPr>
        <w:t>DRX</w:t>
      </w:r>
      <w:r w:rsidR="002F3743">
        <w:t>, but the relaxation factor 1.5 applies</w:t>
      </w:r>
      <w:r w:rsidR="0002774A">
        <w:t xml:space="preserve"> according to </w:t>
      </w:r>
      <w:r w:rsidR="0002774A">
        <w:fldChar w:fldCharType="begin"/>
      </w:r>
      <w:r w:rsidR="0002774A">
        <w:instrText xml:space="preserve"> REF _Ref71031776 \h </w:instrText>
      </w:r>
      <w:r w:rsidR="0002774A">
        <w:fldChar w:fldCharType="separate"/>
      </w:r>
      <w:r w:rsidR="0002774A">
        <w:t xml:space="preserve">Table </w:t>
      </w:r>
      <w:r w:rsidR="0002774A">
        <w:rPr>
          <w:noProof/>
        </w:rPr>
        <w:t>1</w:t>
      </w:r>
      <w:r w:rsidR="0002774A">
        <w:fldChar w:fldCharType="end"/>
      </w:r>
      <w:r w:rsidR="002F3743">
        <w:t xml:space="preserve">. </w:t>
      </w:r>
      <w:r w:rsidR="00B56228">
        <w:t xml:space="preserve">For </w:t>
      </w:r>
      <w:r w:rsidR="00DC27F0">
        <w:t xml:space="preserve">DRX with </w:t>
      </w:r>
      <w:r w:rsidR="00B56228">
        <w:t>DRX_cycle_length &gt; 320ms, the L1 indication interval is same as T</w:t>
      </w:r>
      <w:r w:rsidR="00B56228" w:rsidRPr="00B56228">
        <w:rPr>
          <w:vertAlign w:val="subscript"/>
        </w:rPr>
        <w:t>DRX</w:t>
      </w:r>
      <w:r w:rsidR="00B56228">
        <w:t xml:space="preserve"> and no relaxation factor is applied. </w:t>
      </w:r>
      <w:r w:rsidR="002F3743">
        <w:t>Here we should potin ou</w:t>
      </w:r>
      <w:r>
        <w:t>t the L1 indication interval does not include P</w:t>
      </w:r>
      <w:r w:rsidR="00C73C24">
        <w:t xml:space="preserve"> and number of measurement samples</w:t>
      </w:r>
      <w:r w:rsidR="00B56228">
        <w:t xml:space="preserve">. </w:t>
      </w:r>
    </w:p>
    <w:p w14:paraId="5956FA69" w14:textId="4C4B5EB5" w:rsidR="00843343" w:rsidRPr="008C2EFA" w:rsidRDefault="00843343" w:rsidP="00843343">
      <w:pPr>
        <w:pStyle w:val="Caption"/>
      </w:pPr>
      <w:bookmarkStart w:id="3" w:name="_Ref71031776"/>
      <w:r>
        <w:t xml:space="preserve">Table </w:t>
      </w:r>
      <w:fldSimple w:instr=" SEQ Table \* ARABIC ">
        <w:r w:rsidR="00B56228">
          <w:rPr>
            <w:noProof/>
          </w:rPr>
          <w:t>1</w:t>
        </w:r>
      </w:fldSimple>
      <w:bookmarkEnd w:id="3"/>
      <w:r>
        <w:tab/>
      </w:r>
      <w:r w:rsidRPr="008C2EFA">
        <w:t>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  <w:r>
        <w:t xml:space="preserve"> (TS 38.133 Table 8.1A.2.2-1)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843343" w:rsidRPr="008C2EFA" w14:paraId="31BAE121" w14:textId="77777777" w:rsidTr="001E23A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172EC" w14:textId="77777777" w:rsidR="00843343" w:rsidRPr="008C2EFA" w:rsidRDefault="00843343" w:rsidP="001E23AE">
            <w:pPr>
              <w:pStyle w:val="TAH"/>
            </w:pPr>
            <w:r w:rsidRPr="008C2EFA">
              <w:lastRenderedPageBreak/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AD57" w14:textId="77777777" w:rsidR="00843343" w:rsidRPr="008C2EFA" w:rsidRDefault="00843343" w:rsidP="001E23AE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0A1C5" w14:textId="77777777" w:rsidR="00843343" w:rsidRPr="002F3743" w:rsidRDefault="00843343" w:rsidP="001E23AE">
            <w:pPr>
              <w:pStyle w:val="TAH"/>
            </w:pPr>
            <w:r w:rsidRPr="002F3743">
              <w:t>T</w:t>
            </w:r>
            <w:r w:rsidRPr="002F3743">
              <w:rPr>
                <w:vertAlign w:val="subscript"/>
              </w:rPr>
              <w:t>Evaluate_in_SSB,CCA</w:t>
            </w:r>
            <w:r w:rsidRPr="002F3743">
              <w:t xml:space="preserve"> (ms)</w:t>
            </w:r>
          </w:p>
        </w:tc>
      </w:tr>
      <w:tr w:rsidR="00843343" w:rsidRPr="008C2EFA" w14:paraId="2913B844" w14:textId="77777777" w:rsidTr="001E23AE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5B6B4E" w14:textId="77777777" w:rsidR="00843343" w:rsidRPr="008C2EFA" w:rsidRDefault="00843343" w:rsidP="001E23AE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71A4" w14:textId="77777777" w:rsidR="00843343" w:rsidRPr="008C2EFA" w:rsidRDefault="00843343" w:rsidP="001E23A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668" w14:textId="77777777" w:rsidR="00843343" w:rsidRPr="008C2EFA" w:rsidRDefault="00843343" w:rsidP="001E23A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2517EE" w14:textId="77777777" w:rsidR="00843343" w:rsidRPr="002F3743" w:rsidRDefault="00843343" w:rsidP="001E23AE">
            <w:pPr>
              <w:pStyle w:val="TAH"/>
            </w:pPr>
          </w:p>
        </w:tc>
      </w:tr>
      <w:tr w:rsidR="00843343" w:rsidRPr="008C2EFA" w14:paraId="77F8F0E7" w14:textId="77777777" w:rsidTr="001E23A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C205" w14:textId="77777777" w:rsidR="00843343" w:rsidRPr="008C2EFA" w:rsidRDefault="00843343" w:rsidP="001E23AE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84B" w14:textId="77777777" w:rsidR="00843343" w:rsidRPr="008C2EFA" w:rsidRDefault="00843343" w:rsidP="001E23AE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8677" w14:textId="77777777" w:rsidR="00843343" w:rsidRPr="008C2EFA" w:rsidRDefault="00843343" w:rsidP="001E23AE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4863" w14:textId="77777777" w:rsidR="00843343" w:rsidRPr="002F3743" w:rsidRDefault="00843343" w:rsidP="001E23AE">
            <w:pPr>
              <w:pStyle w:val="TAH"/>
            </w:pPr>
            <w:r w:rsidRPr="002F3743">
              <w:t>Max(100, Ceil((5+L</w:t>
            </w:r>
            <w:r w:rsidRPr="002F3743">
              <w:rPr>
                <w:vertAlign w:val="subscript"/>
              </w:rPr>
              <w:t>in</w:t>
            </w:r>
            <w:r w:rsidRPr="002F3743">
              <w:t>)*P)*T</w:t>
            </w:r>
            <w:r w:rsidRPr="002F3743">
              <w:rPr>
                <w:vertAlign w:val="subscript"/>
              </w:rPr>
              <w:t>SSB</w:t>
            </w:r>
            <w:r w:rsidRPr="002F3743">
              <w:t>)</w:t>
            </w:r>
          </w:p>
        </w:tc>
      </w:tr>
      <w:tr w:rsidR="00843343" w:rsidRPr="008C2EFA" w14:paraId="779A9350" w14:textId="77777777" w:rsidTr="001E23A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C056" w14:textId="77777777" w:rsidR="00843343" w:rsidRPr="008C2EFA" w:rsidRDefault="00843343" w:rsidP="001E23AE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64CF" w14:textId="77777777" w:rsidR="00843343" w:rsidRPr="008C2EFA" w:rsidRDefault="00843343" w:rsidP="001E23AE">
            <w:pPr>
              <w:pStyle w:val="TAH"/>
            </w:pPr>
            <w:r w:rsidRPr="008C2EFA">
              <w:t>Max(200, Ceil(1.5*</w:t>
            </w:r>
            <w:r>
              <w:t>15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A34" w14:textId="77777777" w:rsidR="00843343" w:rsidRPr="008C2EFA" w:rsidRDefault="00843343" w:rsidP="001E23AE">
            <w:pPr>
              <w:pStyle w:val="TAH"/>
            </w:pPr>
            <w:r w:rsidRPr="008C2EFA">
              <w:t>Max(200, Ceil(1.5*</w:t>
            </w:r>
            <w:r>
              <w:t>20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ECB" w14:textId="77777777" w:rsidR="00843343" w:rsidRPr="00843343" w:rsidRDefault="00843343" w:rsidP="001E23AE">
            <w:pPr>
              <w:pStyle w:val="TAH"/>
              <w:rPr>
                <w:highlight w:val="yellow"/>
              </w:rPr>
            </w:pPr>
            <w:r w:rsidRPr="00843343">
              <w:rPr>
                <w:highlight w:val="yellow"/>
              </w:rPr>
              <w:t>Max(100, Ceil(1.5*(5+L</w:t>
            </w:r>
            <w:r w:rsidRPr="00843343">
              <w:rPr>
                <w:highlight w:val="yellow"/>
                <w:vertAlign w:val="subscript"/>
              </w:rPr>
              <w:t>in</w:t>
            </w:r>
            <w:r w:rsidRPr="00843343">
              <w:rPr>
                <w:highlight w:val="yellow"/>
              </w:rPr>
              <w:t>)*P)*Max(T</w:t>
            </w:r>
            <w:r w:rsidRPr="00843343">
              <w:rPr>
                <w:highlight w:val="yellow"/>
                <w:vertAlign w:val="subscript"/>
              </w:rPr>
              <w:t>DRX</w:t>
            </w:r>
            <w:r w:rsidRPr="00843343">
              <w:rPr>
                <w:highlight w:val="yellow"/>
              </w:rPr>
              <w:t>,T</w:t>
            </w:r>
            <w:r w:rsidRPr="00843343">
              <w:rPr>
                <w:highlight w:val="yellow"/>
                <w:vertAlign w:val="subscript"/>
              </w:rPr>
              <w:t>SSB</w:t>
            </w:r>
            <w:r w:rsidRPr="00843343">
              <w:rPr>
                <w:highlight w:val="yellow"/>
              </w:rPr>
              <w:t>))</w:t>
            </w:r>
          </w:p>
        </w:tc>
      </w:tr>
      <w:tr w:rsidR="00843343" w:rsidRPr="008C2EFA" w14:paraId="5C79C8CD" w14:textId="77777777" w:rsidTr="001E23A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4C4B" w14:textId="77777777" w:rsidR="00843343" w:rsidRPr="008C2EFA" w:rsidRDefault="00843343" w:rsidP="001E23AE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FD5" w14:textId="77777777" w:rsidR="00843343" w:rsidRPr="008C2EFA" w:rsidRDefault="00843343" w:rsidP="001E23AE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D20" w14:textId="77777777" w:rsidR="00843343" w:rsidRPr="008C2EFA" w:rsidRDefault="00843343" w:rsidP="001E23AE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8792" w14:textId="77777777" w:rsidR="00843343" w:rsidRPr="00843343" w:rsidRDefault="00843343" w:rsidP="001E23AE">
            <w:pPr>
              <w:pStyle w:val="TAH"/>
              <w:rPr>
                <w:highlight w:val="yellow"/>
              </w:rPr>
            </w:pPr>
            <w:r w:rsidRPr="00843343">
              <w:rPr>
                <w:highlight w:val="yellow"/>
              </w:rPr>
              <w:t>Ceil((5+L</w:t>
            </w:r>
            <w:r w:rsidRPr="00843343">
              <w:rPr>
                <w:highlight w:val="yellow"/>
                <w:vertAlign w:val="subscript"/>
              </w:rPr>
              <w:t>in</w:t>
            </w:r>
            <w:r w:rsidRPr="00843343">
              <w:rPr>
                <w:highlight w:val="yellow"/>
              </w:rPr>
              <w:t>)*P)*T</w:t>
            </w:r>
            <w:r w:rsidRPr="00843343">
              <w:rPr>
                <w:highlight w:val="yellow"/>
                <w:vertAlign w:val="subscript"/>
              </w:rPr>
              <w:t>DRX</w:t>
            </w:r>
          </w:p>
        </w:tc>
      </w:tr>
      <w:tr w:rsidR="00843343" w:rsidRPr="008C2EFA" w14:paraId="496E03A5" w14:textId="77777777" w:rsidTr="001E23AE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355E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2D212945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843343">
              <w:t xml:space="preserve">. </w:t>
            </w:r>
            <w:r w:rsidRPr="000E692D">
              <w:rPr>
                <w:highlight w:val="yellow"/>
              </w:rPr>
              <w:t>[The UE is not required to determine the availability of SSB occasions more frequent than once per DRX cycle length, when configured with DRX.]</w:t>
            </w:r>
          </w:p>
          <w:p w14:paraId="6C3918E6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657D31C7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0EEB93CF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7E9230FB" w14:textId="77777777" w:rsidR="00843343" w:rsidRPr="00944908" w:rsidRDefault="00843343" w:rsidP="001E23A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5594EA17" w14:textId="77BFEBE8" w:rsidR="00AF0916" w:rsidRDefault="00AF0916" w:rsidP="00B0773A"/>
    <w:p w14:paraId="3A39950A" w14:textId="77777777" w:rsidR="00DC053A" w:rsidRPr="00DB2199" w:rsidRDefault="00DC053A" w:rsidP="00DC053A">
      <w:pPr>
        <w:pStyle w:val="Caption"/>
      </w:pPr>
      <w:bookmarkStart w:id="4" w:name="_Ref71032362"/>
      <w:r>
        <w:t xml:space="preserve">Table </w:t>
      </w:r>
      <w:r w:rsidR="00A03314">
        <w:fldChar w:fldCharType="begin"/>
      </w:r>
      <w:r w:rsidR="00A03314">
        <w:instrText xml:space="preserve"> SEQ Table \* ARABIC </w:instrText>
      </w:r>
      <w:r w:rsidR="00A03314">
        <w:fldChar w:fldCharType="separate"/>
      </w:r>
      <w:r>
        <w:rPr>
          <w:noProof/>
        </w:rPr>
        <w:t>2</w:t>
      </w:r>
      <w:r w:rsidR="00A03314">
        <w:rPr>
          <w:noProof/>
        </w:rPr>
        <w:fldChar w:fldCharType="end"/>
      </w:r>
      <w:bookmarkEnd w:id="4"/>
      <w:r>
        <w:tab/>
      </w:r>
      <w:r w:rsidRPr="00DB2199">
        <w:t>Evaluation period T</w:t>
      </w:r>
      <w:r w:rsidRPr="00DB2199">
        <w:rPr>
          <w:vertAlign w:val="subscript"/>
        </w:rPr>
        <w:t>Evaluate_CBD_SSB_CCA</w:t>
      </w:r>
      <w:r>
        <w:t xml:space="preserve"> (TS 38.133 Table 8.5A.5.2-1)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5190"/>
      </w:tblGrid>
      <w:tr w:rsidR="00DC053A" w:rsidRPr="00DB2199" w14:paraId="697D40D1" w14:textId="77777777" w:rsidTr="002A6056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82F1" w14:textId="77777777" w:rsidR="00DC053A" w:rsidRPr="00DB2199" w:rsidRDefault="00DC053A" w:rsidP="002A6056">
            <w:pPr>
              <w:pStyle w:val="TAH"/>
            </w:pPr>
            <w:r w:rsidRPr="00DB2199"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2E04" w14:textId="77777777" w:rsidR="00DC053A" w:rsidRPr="00DB2199" w:rsidRDefault="00DC053A" w:rsidP="002A6056">
            <w:pPr>
              <w:pStyle w:val="TAH"/>
            </w:pPr>
            <w:r w:rsidRPr="00DB2199">
              <w:t>T</w:t>
            </w:r>
            <w:r w:rsidRPr="00DB2199">
              <w:rPr>
                <w:vertAlign w:val="subscript"/>
              </w:rPr>
              <w:t>Evaluate_CBD_SSB_CCA</w:t>
            </w:r>
            <w:r w:rsidRPr="00DB2199">
              <w:t xml:space="preserve"> (ms) </w:t>
            </w:r>
          </w:p>
        </w:tc>
      </w:tr>
      <w:tr w:rsidR="00DC053A" w:rsidRPr="00DB2199" w14:paraId="34936BA0" w14:textId="77777777" w:rsidTr="002A6056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8B63" w14:textId="77777777" w:rsidR="00DC053A" w:rsidRPr="00DB2199" w:rsidRDefault="00DC053A" w:rsidP="002A6056">
            <w:pPr>
              <w:pStyle w:val="TAC"/>
            </w:pPr>
            <w:r w:rsidRPr="00DB2199">
              <w:t xml:space="preserve">non-DRX, DRX cycle </w:t>
            </w:r>
            <w:r w:rsidRPr="00DB2199">
              <w:rPr>
                <w:rFonts w:cs="Arial"/>
              </w:rPr>
              <w:t xml:space="preserve">≤ </w:t>
            </w:r>
            <w:r w:rsidRPr="00DB2199"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194D" w14:textId="77777777" w:rsidR="00DC053A" w:rsidRPr="00B56228" w:rsidRDefault="00DC053A" w:rsidP="002A6056">
            <w:pPr>
              <w:pStyle w:val="TAC"/>
              <w:rPr>
                <w:highlight w:val="yellow"/>
              </w:rPr>
            </w:pPr>
            <w:r w:rsidRPr="00B56228">
              <w:rPr>
                <w:rFonts w:cs="v4.2.0"/>
                <w:highlight w:val="yellow"/>
              </w:rPr>
              <w:t xml:space="preserve">Max(25, </w:t>
            </w:r>
            <w:r w:rsidRPr="00B56228">
              <w:rPr>
                <w:highlight w:val="yellow"/>
              </w:rPr>
              <w:t>Ceil((3 + L</w:t>
            </w:r>
            <w:r w:rsidRPr="00B56228">
              <w:rPr>
                <w:highlight w:val="yellow"/>
                <w:vertAlign w:val="subscript"/>
              </w:rPr>
              <w:t>CBD</w:t>
            </w:r>
            <w:r w:rsidRPr="00B56228">
              <w:rPr>
                <w:highlight w:val="yellow"/>
              </w:rPr>
              <w:t xml:space="preserve">) </w:t>
            </w:r>
            <w:r w:rsidRPr="00B56228">
              <w:rPr>
                <w:rFonts w:cs="Arial"/>
                <w:szCs w:val="18"/>
                <w:highlight w:val="yellow"/>
              </w:rPr>
              <w:sym w:font="Symbol" w:char="F0B4"/>
            </w:r>
            <w:r w:rsidRPr="00B56228">
              <w:rPr>
                <w:rFonts w:cs="Arial"/>
                <w:szCs w:val="18"/>
                <w:highlight w:val="yellow"/>
              </w:rPr>
              <w:t xml:space="preserve"> </w:t>
            </w:r>
            <w:r w:rsidRPr="00B56228">
              <w:rPr>
                <w:highlight w:val="yellow"/>
              </w:rPr>
              <w:t xml:space="preserve">P) </w:t>
            </w:r>
            <w:r w:rsidRPr="00B56228">
              <w:rPr>
                <w:rFonts w:cs="Arial"/>
                <w:szCs w:val="18"/>
                <w:highlight w:val="yellow"/>
              </w:rPr>
              <w:sym w:font="Symbol" w:char="F0B4"/>
            </w:r>
            <w:r w:rsidRPr="00B56228">
              <w:rPr>
                <w:highlight w:val="yellow"/>
              </w:rPr>
              <w:t xml:space="preserve"> T</w:t>
            </w:r>
            <w:r w:rsidRPr="00B56228">
              <w:rPr>
                <w:highlight w:val="yellow"/>
                <w:vertAlign w:val="subscript"/>
              </w:rPr>
              <w:t>SSB</w:t>
            </w:r>
            <w:r w:rsidRPr="00B56228">
              <w:rPr>
                <w:rFonts w:cs="v4.2.0"/>
                <w:highlight w:val="yellow"/>
              </w:rPr>
              <w:t>)</w:t>
            </w:r>
          </w:p>
        </w:tc>
      </w:tr>
      <w:tr w:rsidR="00DC053A" w:rsidRPr="00DB2199" w14:paraId="2269F3FA" w14:textId="77777777" w:rsidTr="002A6056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AC00" w14:textId="77777777" w:rsidR="00DC053A" w:rsidRPr="00DB2199" w:rsidRDefault="00DC053A" w:rsidP="002A6056">
            <w:pPr>
              <w:pStyle w:val="TAC"/>
            </w:pPr>
            <w:r w:rsidRPr="00DB2199"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2B6E" w14:textId="77777777" w:rsidR="00DC053A" w:rsidRPr="00B56228" w:rsidRDefault="00DC053A" w:rsidP="002A6056">
            <w:pPr>
              <w:pStyle w:val="TAC"/>
              <w:rPr>
                <w:rFonts w:cs="v4.2.0"/>
                <w:highlight w:val="yellow"/>
                <w:vertAlign w:val="subscript"/>
              </w:rPr>
            </w:pPr>
            <w:r w:rsidRPr="00B56228">
              <w:rPr>
                <w:rFonts w:cs="v4.2.0"/>
                <w:highlight w:val="yellow"/>
              </w:rPr>
              <w:t>Ceil((3 + L</w:t>
            </w:r>
            <w:r w:rsidRPr="00B56228">
              <w:rPr>
                <w:rFonts w:cs="v4.2.0"/>
                <w:highlight w:val="yellow"/>
                <w:vertAlign w:val="subscript"/>
              </w:rPr>
              <w:t>CBD</w:t>
            </w:r>
            <w:r w:rsidRPr="00B56228">
              <w:rPr>
                <w:rFonts w:cs="v4.2.0"/>
                <w:highlight w:val="yellow"/>
              </w:rPr>
              <w:t xml:space="preserve">) </w:t>
            </w:r>
            <w:r w:rsidRPr="00B56228">
              <w:rPr>
                <w:rFonts w:cs="Arial"/>
                <w:szCs w:val="18"/>
                <w:highlight w:val="yellow"/>
              </w:rPr>
              <w:sym w:font="Symbol" w:char="F0B4"/>
            </w:r>
            <w:r w:rsidRPr="00B56228">
              <w:rPr>
                <w:rFonts w:cs="Arial"/>
                <w:szCs w:val="18"/>
                <w:highlight w:val="yellow"/>
              </w:rPr>
              <w:t xml:space="preserve"> </w:t>
            </w:r>
            <w:r w:rsidRPr="00B56228">
              <w:rPr>
                <w:rFonts w:cs="v4.2.0"/>
                <w:highlight w:val="yellow"/>
              </w:rPr>
              <w:t xml:space="preserve">P) </w:t>
            </w:r>
            <w:r w:rsidRPr="00B56228">
              <w:rPr>
                <w:rFonts w:cs="Arial"/>
                <w:szCs w:val="18"/>
                <w:highlight w:val="yellow"/>
              </w:rPr>
              <w:sym w:font="Symbol" w:char="F0B4"/>
            </w:r>
            <w:r w:rsidRPr="00B56228">
              <w:rPr>
                <w:rFonts w:cs="v4.2.0"/>
                <w:highlight w:val="yellow"/>
              </w:rPr>
              <w:t xml:space="preserve"> T</w:t>
            </w:r>
            <w:r w:rsidRPr="00B56228">
              <w:rPr>
                <w:rFonts w:cs="v4.2.0"/>
                <w:highlight w:val="yellow"/>
                <w:vertAlign w:val="subscript"/>
              </w:rPr>
              <w:t>DRX</w:t>
            </w:r>
          </w:p>
        </w:tc>
      </w:tr>
      <w:tr w:rsidR="00DC053A" w:rsidRPr="00DB2199" w14:paraId="5D2E22B0" w14:textId="77777777" w:rsidTr="002A6056">
        <w:trPr>
          <w:jc w:val="center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8F91" w14:textId="77777777" w:rsidR="00DC053A" w:rsidRPr="00DB2199" w:rsidRDefault="00DC053A" w:rsidP="002A6056">
            <w:pPr>
              <w:pStyle w:val="TAN"/>
            </w:pPr>
            <w:r w:rsidRPr="00DB2199">
              <w:t>Note 1:</w:t>
            </w:r>
            <w:r>
              <w:rPr>
                <w:rFonts w:cs="Arial"/>
              </w:rPr>
              <w:tab/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t xml:space="preserve"> is the periodicity of SSB in the set</w:t>
            </w:r>
            <w:r w:rsidRPr="00DB2199"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1</m:t>
                  </m:r>
                </m:sub>
              </m:sSub>
            </m:oMath>
            <w:r w:rsidRPr="00DB2199">
              <w:t>.</w:t>
            </w:r>
            <w:r w:rsidRPr="00DB2199">
              <w:rPr>
                <w:rFonts w:cs="v4.2.0"/>
              </w:rPr>
              <w:t xml:space="preserve"> T</w:t>
            </w:r>
            <w:r w:rsidRPr="00DB2199">
              <w:rPr>
                <w:rFonts w:cs="v4.2.0"/>
                <w:vertAlign w:val="subscript"/>
              </w:rPr>
              <w:t>DRX</w:t>
            </w:r>
            <w:r w:rsidRPr="00DB2199">
              <w:t xml:space="preserve"> is the DRX cycle length.</w:t>
            </w:r>
          </w:p>
          <w:p w14:paraId="7DAD8E08" w14:textId="77777777" w:rsidR="00DC053A" w:rsidRPr="00DB2199" w:rsidRDefault="00DC053A" w:rsidP="002A6056">
            <w:pPr>
              <w:pStyle w:val="TAN"/>
              <w:rPr>
                <w:rFonts w:cs="Arial"/>
              </w:rPr>
            </w:pPr>
            <w:r w:rsidRPr="00DB2199">
              <w:t>Note 2:</w:t>
            </w:r>
            <w:r w:rsidRPr="00DB2199">
              <w:tab/>
              <w:t>L</w:t>
            </w:r>
            <w:r w:rsidRPr="00DB2199">
              <w:rPr>
                <w:vertAlign w:val="subscript"/>
              </w:rPr>
              <w:t>CBD</w:t>
            </w:r>
            <w:r w:rsidRPr="00DB2199">
              <w:t xml:space="preserve"> is the number of CBD-RS SSB</w:t>
            </w:r>
            <w:r>
              <w:t xml:space="preserve"> occasion</w:t>
            </w:r>
            <w:r w:rsidRPr="00DB2199">
              <w:t>s not available at the UE during T</w:t>
            </w:r>
            <w:r w:rsidRPr="00DB2199">
              <w:rPr>
                <w:vertAlign w:val="subscript"/>
              </w:rPr>
              <w:t>Evaluate_CBD_SSB_CCA</w:t>
            </w:r>
            <w:r w:rsidRPr="00DB2199">
              <w:t xml:space="preserve"> where L</w:t>
            </w:r>
            <w:r>
              <w:rPr>
                <w:vertAlign w:val="subscript"/>
              </w:rPr>
              <w:t>CB</w:t>
            </w:r>
            <w:r w:rsidRPr="00DB2199">
              <w:rPr>
                <w:vertAlign w:val="subscript"/>
              </w:rPr>
              <w:t>D</w:t>
            </w:r>
            <w:r w:rsidRPr="00DB2199">
              <w:t xml:space="preserve"> </w:t>
            </w:r>
            <w:r w:rsidRPr="00DB2199">
              <w:rPr>
                <w:rFonts w:cs="Arial"/>
              </w:rPr>
              <w:t>≤ L</w:t>
            </w:r>
            <w:r w:rsidRPr="00DB2199">
              <w:rPr>
                <w:rFonts w:cs="Arial"/>
                <w:vertAlign w:val="subscript"/>
              </w:rPr>
              <w:t>CBD,max</w:t>
            </w:r>
            <w:r w:rsidRPr="00DB2199">
              <w:rPr>
                <w:rFonts w:cs="Arial"/>
              </w:rPr>
              <w:t>.</w:t>
            </w:r>
            <w:r w:rsidRPr="009731F4">
              <w:rPr>
                <w:rFonts w:cs="Arial"/>
              </w:rPr>
              <w:t xml:space="preserve"> </w:t>
            </w:r>
            <w:r w:rsidRPr="000E692D">
              <w:rPr>
                <w:rFonts w:cs="Arial"/>
                <w:highlight w:val="yellow"/>
              </w:rPr>
              <w:t>[The UE is not required to determine the availability of SSB occasions more frequent than once per DRX cycle length, when configured with DRX.]</w:t>
            </w:r>
          </w:p>
          <w:p w14:paraId="062EB961" w14:textId="77777777" w:rsidR="00DC053A" w:rsidRPr="00DB2199" w:rsidRDefault="00DC053A" w:rsidP="002A6056">
            <w:pPr>
              <w:pStyle w:val="TAN"/>
              <w:rPr>
                <w:rFonts w:cs="Arial"/>
              </w:rPr>
            </w:pPr>
            <w:r w:rsidRPr="00DB2199">
              <w:rPr>
                <w:rFonts w:cs="Arial"/>
              </w:rPr>
              <w:t>Note 3:</w:t>
            </w:r>
            <w:r w:rsidRPr="00DB2199">
              <w:rPr>
                <w:rFonts w:cs="Arial"/>
              </w:rPr>
              <w:tab/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r w:rsidRPr="00DB2199">
              <w:rPr>
                <w:rFonts w:cs="Arial"/>
              </w:rPr>
              <w:t>=7 for Max(T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>, T</w:t>
            </w:r>
            <w:r w:rsidRPr="00DB2199">
              <w:rPr>
                <w:rFonts w:cs="Arial"/>
                <w:vertAlign w:val="subscript"/>
              </w:rPr>
              <w:t>SSB</w:t>
            </w:r>
            <w:r w:rsidRPr="00DB2199">
              <w:rPr>
                <w:rFonts w:cs="Arial"/>
              </w:rPr>
              <w:t>) ≤ 40 assuming 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 xml:space="preserve">=0 for non-DRX, </w:t>
            </w:r>
            <w:r w:rsidRPr="00DB2199">
              <w:rPr>
                <w:rFonts w:cs="Arial"/>
              </w:rPr>
              <w:br/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r w:rsidRPr="00DB2199">
              <w:rPr>
                <w:rFonts w:cs="Arial"/>
              </w:rPr>
              <w:t>=5 for 40 &lt; Max(T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>, T</w:t>
            </w:r>
            <w:r w:rsidRPr="00DB2199">
              <w:rPr>
                <w:rFonts w:cs="Arial"/>
                <w:vertAlign w:val="subscript"/>
              </w:rPr>
              <w:t>SSB</w:t>
            </w:r>
            <w:r w:rsidRPr="00DB2199">
              <w:rPr>
                <w:rFonts w:cs="Arial"/>
              </w:rPr>
              <w:t xml:space="preserve">) ≤ 320, </w:t>
            </w:r>
            <w:r w:rsidRPr="00DB2199">
              <w:rPr>
                <w:rFonts w:cs="Arial"/>
              </w:rPr>
              <w:br/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r w:rsidRPr="00DB2199">
              <w:rPr>
                <w:rFonts w:cs="Arial"/>
              </w:rPr>
              <w:t>=3 for 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 xml:space="preserve"> &gt; 320.</w:t>
            </w:r>
          </w:p>
          <w:p w14:paraId="498A6414" w14:textId="77777777" w:rsidR="00DC053A" w:rsidRPr="00DB2199" w:rsidRDefault="00DC053A" w:rsidP="002A6056">
            <w:pPr>
              <w:pStyle w:val="TAN"/>
              <w:rPr>
                <w:rFonts w:cs="v4.2.0"/>
              </w:rPr>
            </w:pPr>
            <w:r w:rsidRPr="00DB2199">
              <w:rPr>
                <w:rFonts w:cs="v4.2.0"/>
              </w:rPr>
              <w:t>Note 4</w:t>
            </w:r>
            <w:r w:rsidRPr="00DB2199">
              <w:rPr>
                <w:rFonts w:cs="v4.2.0"/>
              </w:rPr>
              <w:tab/>
              <w:t>If L</w:t>
            </w:r>
            <w:r w:rsidRPr="00DB2199">
              <w:rPr>
                <w:rFonts w:cs="v4.2.0"/>
                <w:vertAlign w:val="subscript"/>
              </w:rPr>
              <w:t>CBD</w:t>
            </w:r>
            <w:r w:rsidRPr="00DB2199">
              <w:rPr>
                <w:rFonts w:cs="v4.2.0"/>
              </w:rPr>
              <w:t>&gt;L</w:t>
            </w:r>
            <w:r w:rsidRPr="00DB2199">
              <w:rPr>
                <w:rFonts w:cs="v4.2.0"/>
                <w:vertAlign w:val="subscript"/>
              </w:rPr>
              <w:t>CBD,max</w:t>
            </w:r>
            <w:r w:rsidRPr="00DB2199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the </w:t>
            </w:r>
            <w:r w:rsidRPr="00DB2199">
              <w:rPr>
                <w:rFonts w:cs="v4.2.0"/>
              </w:rPr>
              <w:t xml:space="preserve">UE </w:t>
            </w:r>
            <w:r>
              <w:rPr>
                <w:rFonts w:cs="v4.2.0"/>
              </w:rPr>
              <w:t xml:space="preserve">shall </w:t>
            </w:r>
            <w:r w:rsidRPr="00DB2199">
              <w:rPr>
                <w:rFonts w:cs="v4.2.0"/>
              </w:rPr>
              <w:t xml:space="preserve">assume no new candidate beams </w:t>
            </w:r>
            <w:r>
              <w:rPr>
                <w:rFonts w:cs="v4.2.0"/>
              </w:rPr>
              <w:t xml:space="preserve">are </w:t>
            </w:r>
            <w:r w:rsidRPr="00DB2199">
              <w:rPr>
                <w:rFonts w:cs="v4.2.0"/>
              </w:rPr>
              <w:t>found</w:t>
            </w:r>
            <w:r>
              <w:rPr>
                <w:rFonts w:cs="v4.2.0"/>
              </w:rPr>
              <w:t xml:space="preserve"> for this evaluation period</w:t>
            </w:r>
            <w:r w:rsidRPr="00DB2199">
              <w:rPr>
                <w:rFonts w:cs="v4.2.0"/>
              </w:rPr>
              <w:t>.</w:t>
            </w:r>
          </w:p>
        </w:tc>
      </w:tr>
    </w:tbl>
    <w:p w14:paraId="4DF5A875" w14:textId="77777777" w:rsidR="00DC053A" w:rsidRDefault="00DC053A" w:rsidP="00DC053A"/>
    <w:p w14:paraId="18CA08E3" w14:textId="77777777" w:rsidR="00DC053A" w:rsidRDefault="00DC053A" w:rsidP="00B0773A"/>
    <w:p w14:paraId="3F028CB9" w14:textId="486E016B" w:rsidR="00DC053A" w:rsidRDefault="00DC053A" w:rsidP="00B0773A">
      <w:r>
        <w:t xml:space="preserve">Since CBD has no L1 indication interval, we can derive the determination of availability of SSB occasions from the CBD evaluation period in </w:t>
      </w:r>
      <w:r>
        <w:fldChar w:fldCharType="begin"/>
      </w:r>
      <w:r>
        <w:instrText xml:space="preserve"> REF _Ref71032362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Since the relaxation factor of 1.5 is not applicable for CBD even with DRX cycle length </w:t>
      </w:r>
      <w:r>
        <w:rPr>
          <w:rFonts w:cs="Calibri"/>
        </w:rPr>
        <w:t>≤</w:t>
      </w:r>
      <w:r>
        <w:t xml:space="preserve"> 320ms, we propose the determination of availability of SSB occasions for CBD as follows.</w:t>
      </w:r>
    </w:p>
    <w:p w14:paraId="7369007C" w14:textId="011BA7FB" w:rsidR="00DC053A" w:rsidRDefault="00DC053A" w:rsidP="00DC053A">
      <w:pPr>
        <w:rPr>
          <w:b/>
          <w:bCs/>
        </w:rPr>
      </w:pPr>
      <w:r w:rsidRPr="00D37E93">
        <w:rPr>
          <w:b/>
          <w:bCs/>
        </w:rPr>
        <w:t xml:space="preserve">Proposal: </w:t>
      </w:r>
      <w:r>
        <w:rPr>
          <w:b/>
          <w:bCs/>
        </w:rPr>
        <w:t>F</w:t>
      </w:r>
      <w:r w:rsidRPr="00D37E93">
        <w:rPr>
          <w:b/>
          <w:bCs/>
        </w:rPr>
        <w:t>or CBD, the UE is not required to determine the availability of SSB occasions more frequent than</w:t>
      </w:r>
      <w:r>
        <w:rPr>
          <w:b/>
          <w:bCs/>
        </w:rPr>
        <w:t>:</w:t>
      </w:r>
    </w:p>
    <w:p w14:paraId="1E447ACD" w14:textId="77777777" w:rsidR="00DC053A" w:rsidRDefault="00DC053A" w:rsidP="00DC053A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O</w:t>
      </w:r>
      <w:r w:rsidRPr="00FC1797">
        <w:rPr>
          <w:b/>
          <w:bCs/>
        </w:rPr>
        <w:t>nce per Max(25ms, DRX_cycle_length, T</w:t>
      </w:r>
      <w:r w:rsidRPr="00FC1797">
        <w:rPr>
          <w:b/>
          <w:bCs/>
          <w:vertAlign w:val="subscript"/>
        </w:rPr>
        <w:t>SSB</w:t>
      </w:r>
      <w:r w:rsidRPr="00FC1797">
        <w:rPr>
          <w:b/>
          <w:bCs/>
        </w:rPr>
        <w:t>)</w:t>
      </w:r>
      <w:r>
        <w:rPr>
          <w:b/>
          <w:bCs/>
        </w:rPr>
        <w:t>,</w:t>
      </w:r>
      <w:r>
        <w:rPr>
          <w:b/>
          <w:bCs/>
        </w:rPr>
        <w:tab/>
      </w:r>
      <w:r w:rsidRPr="00FC1797">
        <w:rPr>
          <w:b/>
          <w:bCs/>
        </w:rPr>
        <w:t xml:space="preserve">if DRX_cycle_length </w:t>
      </w:r>
      <w:r w:rsidRPr="00FC1797">
        <w:rPr>
          <w:rFonts w:cs="Calibri"/>
          <w:b/>
          <w:bCs/>
        </w:rPr>
        <w:t>≤</w:t>
      </w:r>
      <w:r w:rsidRPr="00FC1797">
        <w:rPr>
          <w:b/>
          <w:bCs/>
        </w:rPr>
        <w:t xml:space="preserve"> 320ms</w:t>
      </w:r>
    </w:p>
    <w:p w14:paraId="637AA717" w14:textId="5E6669A3" w:rsidR="00DC053A" w:rsidRPr="00D70A5D" w:rsidRDefault="00DC053A" w:rsidP="00B0773A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O</w:t>
      </w:r>
      <w:r w:rsidRPr="00FC1797">
        <w:rPr>
          <w:b/>
          <w:bCs/>
        </w:rPr>
        <w:t>nce per DRX_cycle_length</w:t>
      </w:r>
      <w:r>
        <w:rPr>
          <w:b/>
          <w:bCs/>
        </w:rPr>
        <w:t>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C1797">
        <w:rPr>
          <w:b/>
          <w:bCs/>
        </w:rPr>
        <w:t xml:space="preserve">if DRX_cycle_length &gt; 320ms. </w:t>
      </w:r>
    </w:p>
    <w:p w14:paraId="26478AFA" w14:textId="0EECA1CC" w:rsidR="00783276" w:rsidRPr="00327786" w:rsidRDefault="007C7DF9" w:rsidP="00B3735B">
      <w:pPr>
        <w:pStyle w:val="Heading1"/>
        <w:rPr>
          <w:lang w:val="en-US"/>
        </w:rPr>
      </w:pPr>
      <w:r w:rsidRPr="00327786">
        <w:rPr>
          <w:lang w:val="en-US"/>
        </w:rPr>
        <w:t>3</w:t>
      </w:r>
      <w:r w:rsidRPr="00327786">
        <w:rPr>
          <w:lang w:val="en-US"/>
        </w:rPr>
        <w:tab/>
        <w:t>Summary</w:t>
      </w:r>
    </w:p>
    <w:p w14:paraId="20410E2E" w14:textId="54B9064D" w:rsidR="009C09F8" w:rsidRDefault="009C09F8" w:rsidP="009C09F8">
      <w:pPr>
        <w:rPr>
          <w:b/>
          <w:bCs/>
        </w:rPr>
      </w:pPr>
      <w:r w:rsidRPr="00D37E93">
        <w:rPr>
          <w:b/>
          <w:bCs/>
        </w:rPr>
        <w:t xml:space="preserve">Proposal: </w:t>
      </w:r>
      <w:r>
        <w:rPr>
          <w:b/>
          <w:bCs/>
        </w:rPr>
        <w:t>F</w:t>
      </w:r>
      <w:r w:rsidRPr="00D37E93">
        <w:rPr>
          <w:b/>
          <w:bCs/>
        </w:rPr>
        <w:t>or CBD, the UE is not required to determine the availability of SSB occasions more frequent than</w:t>
      </w:r>
      <w:r>
        <w:rPr>
          <w:b/>
          <w:bCs/>
        </w:rPr>
        <w:t>:</w:t>
      </w:r>
    </w:p>
    <w:p w14:paraId="7AC9CB41" w14:textId="77777777" w:rsidR="009C09F8" w:rsidRDefault="009C09F8" w:rsidP="009C09F8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O</w:t>
      </w:r>
      <w:r w:rsidRPr="00FC1797">
        <w:rPr>
          <w:b/>
          <w:bCs/>
        </w:rPr>
        <w:t>nce per Max(25ms, DRX_cycle_length, T</w:t>
      </w:r>
      <w:r w:rsidRPr="00FC1797">
        <w:rPr>
          <w:b/>
          <w:bCs/>
          <w:vertAlign w:val="subscript"/>
        </w:rPr>
        <w:t>SSB</w:t>
      </w:r>
      <w:r w:rsidRPr="00FC1797">
        <w:rPr>
          <w:b/>
          <w:bCs/>
        </w:rPr>
        <w:t>)</w:t>
      </w:r>
      <w:r>
        <w:rPr>
          <w:b/>
          <w:bCs/>
        </w:rPr>
        <w:t>,</w:t>
      </w:r>
      <w:r>
        <w:rPr>
          <w:b/>
          <w:bCs/>
        </w:rPr>
        <w:tab/>
      </w:r>
      <w:r w:rsidRPr="00FC1797">
        <w:rPr>
          <w:b/>
          <w:bCs/>
        </w:rPr>
        <w:t xml:space="preserve">if DRX_cycle_length </w:t>
      </w:r>
      <w:r w:rsidRPr="00FC1797">
        <w:rPr>
          <w:rFonts w:cs="Calibri"/>
          <w:b/>
          <w:bCs/>
        </w:rPr>
        <w:t>≤</w:t>
      </w:r>
      <w:r w:rsidRPr="00FC1797">
        <w:rPr>
          <w:b/>
          <w:bCs/>
        </w:rPr>
        <w:t xml:space="preserve"> 320ms</w:t>
      </w:r>
    </w:p>
    <w:p w14:paraId="05ED95C5" w14:textId="35DC1544" w:rsidR="00336EB7" w:rsidRPr="009C09F8" w:rsidRDefault="009C09F8" w:rsidP="00053A4B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>O</w:t>
      </w:r>
      <w:r w:rsidRPr="00FC1797">
        <w:rPr>
          <w:b/>
          <w:bCs/>
        </w:rPr>
        <w:t>nce per DRX_cycle_length</w:t>
      </w:r>
      <w:r>
        <w:rPr>
          <w:b/>
          <w:bCs/>
        </w:rPr>
        <w:t>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C1797">
        <w:rPr>
          <w:b/>
          <w:bCs/>
        </w:rPr>
        <w:t xml:space="preserve">if DRX_cycle_length &gt; 320ms. </w:t>
      </w:r>
    </w:p>
    <w:p w14:paraId="15AE7CF6" w14:textId="6A8909BD" w:rsidR="00887C74" w:rsidRPr="00327786" w:rsidRDefault="00BB7525" w:rsidP="00BB4A9F">
      <w:pPr>
        <w:pStyle w:val="Heading1"/>
        <w:rPr>
          <w:lang w:val="en-US"/>
        </w:rPr>
      </w:pPr>
      <w:r w:rsidRPr="00327786">
        <w:rPr>
          <w:lang w:val="en-US"/>
        </w:rPr>
        <w:lastRenderedPageBreak/>
        <w:t>4</w:t>
      </w:r>
      <w:r w:rsidR="000C49C8" w:rsidRPr="00327786">
        <w:rPr>
          <w:lang w:val="en-US"/>
        </w:rPr>
        <w:tab/>
      </w:r>
      <w:r w:rsidR="005A782E" w:rsidRPr="00327786">
        <w:rPr>
          <w:lang w:val="en-US"/>
        </w:rPr>
        <w:t>References</w:t>
      </w:r>
    </w:p>
    <w:p w14:paraId="7F15F9CC" w14:textId="26E35C5F" w:rsidR="00BE76B4" w:rsidRPr="00327786" w:rsidRDefault="00D22CC3" w:rsidP="00AF591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7054409"/>
      <w:bookmarkStart w:id="6" w:name="_Ref70959263"/>
      <w:r w:rsidRPr="00327786">
        <w:t>R4-210</w:t>
      </w:r>
      <w:bookmarkEnd w:id="5"/>
      <w:r w:rsidR="00DD2F08">
        <w:t>5700, “</w:t>
      </w:r>
      <w:r w:rsidR="00DD2F08" w:rsidRPr="00DD2F08">
        <w:t>WF on NR-U RRM Core Requirements</w:t>
      </w:r>
      <w:r w:rsidR="00DD2F08">
        <w:t>”, Ericsson.</w:t>
      </w:r>
      <w:bookmarkEnd w:id="6"/>
      <w:r w:rsidR="00DD2F08">
        <w:t xml:space="preserve"> </w:t>
      </w:r>
      <w:r w:rsidR="00BE76B4" w:rsidRPr="00327786">
        <w:t xml:space="preserve"> </w:t>
      </w:r>
    </w:p>
    <w:sectPr w:rsidR="00BE76B4" w:rsidRPr="0032778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3E1C5" w14:textId="77777777" w:rsidR="00A11590" w:rsidRDefault="00A11590">
      <w:pPr>
        <w:spacing w:after="0"/>
      </w:pPr>
      <w:r>
        <w:separator/>
      </w:r>
    </w:p>
  </w:endnote>
  <w:endnote w:type="continuationSeparator" w:id="0">
    <w:p w14:paraId="4525DBFD" w14:textId="77777777" w:rsidR="00A11590" w:rsidRDefault="00A11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61DD0" w14:textId="77777777" w:rsidR="00A11590" w:rsidRDefault="00A11590">
      <w:pPr>
        <w:spacing w:after="0"/>
      </w:pPr>
      <w:r>
        <w:separator/>
      </w:r>
    </w:p>
  </w:footnote>
  <w:footnote w:type="continuationSeparator" w:id="0">
    <w:p w14:paraId="28A06A58" w14:textId="77777777" w:rsidR="00A11590" w:rsidRDefault="00A115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58F"/>
    <w:multiLevelType w:val="hybridMultilevel"/>
    <w:tmpl w:val="31726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3A21FD"/>
    <w:multiLevelType w:val="hybridMultilevel"/>
    <w:tmpl w:val="4A54D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A5A37"/>
    <w:multiLevelType w:val="hybridMultilevel"/>
    <w:tmpl w:val="892A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412F"/>
    <w:multiLevelType w:val="hybridMultilevel"/>
    <w:tmpl w:val="B2608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14"/>
  </w:num>
  <w:num w:numId="5">
    <w:abstractNumId w:val="7"/>
  </w:num>
  <w:num w:numId="6">
    <w:abstractNumId w:val="15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9"/>
  </w:num>
  <w:num w:numId="14">
    <w:abstractNumId w:val="13"/>
  </w:num>
  <w:num w:numId="15">
    <w:abstractNumId w:val="2"/>
  </w:num>
  <w:num w:numId="16">
    <w:abstractNumId w:val="10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74A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985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692D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08D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4BA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0ED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743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689"/>
    <w:rsid w:val="00335F65"/>
    <w:rsid w:val="00335FB5"/>
    <w:rsid w:val="003367EA"/>
    <w:rsid w:val="00336EB7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A4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B8A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97F"/>
    <w:rsid w:val="003B6EDF"/>
    <w:rsid w:val="003B7C6E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006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A2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DEF"/>
    <w:rsid w:val="003E762E"/>
    <w:rsid w:val="003E7C5D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181E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50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4F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61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39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019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0E89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5BF"/>
    <w:rsid w:val="007F0BDF"/>
    <w:rsid w:val="007F0D32"/>
    <w:rsid w:val="007F10B9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3343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1E3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6E6A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B7D19"/>
    <w:rsid w:val="009C0342"/>
    <w:rsid w:val="009C047A"/>
    <w:rsid w:val="009C08A1"/>
    <w:rsid w:val="009C0909"/>
    <w:rsid w:val="009C090D"/>
    <w:rsid w:val="009C09F8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08B"/>
    <w:rsid w:val="009F753A"/>
    <w:rsid w:val="009F7EDA"/>
    <w:rsid w:val="00A00241"/>
    <w:rsid w:val="00A00B28"/>
    <w:rsid w:val="00A01700"/>
    <w:rsid w:val="00A01806"/>
    <w:rsid w:val="00A02BC4"/>
    <w:rsid w:val="00A0331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1590"/>
    <w:rsid w:val="00A122F1"/>
    <w:rsid w:val="00A12881"/>
    <w:rsid w:val="00A12BA0"/>
    <w:rsid w:val="00A12BCF"/>
    <w:rsid w:val="00A13313"/>
    <w:rsid w:val="00A13956"/>
    <w:rsid w:val="00A13971"/>
    <w:rsid w:val="00A13A0C"/>
    <w:rsid w:val="00A13BD2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76A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4FD"/>
    <w:rsid w:val="00A63897"/>
    <w:rsid w:val="00A6415A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C38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916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919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86F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228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F60"/>
    <w:rsid w:val="00B7404F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1E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C2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B7A4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A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93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CC9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A5D"/>
    <w:rsid w:val="00D70D53"/>
    <w:rsid w:val="00D70EB9"/>
    <w:rsid w:val="00D70F9C"/>
    <w:rsid w:val="00D710BE"/>
    <w:rsid w:val="00D7181E"/>
    <w:rsid w:val="00D718B5"/>
    <w:rsid w:val="00D720AD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0DF5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53A"/>
    <w:rsid w:val="00DC0919"/>
    <w:rsid w:val="00DC0A3E"/>
    <w:rsid w:val="00DC19AE"/>
    <w:rsid w:val="00DC1D36"/>
    <w:rsid w:val="00DC20AD"/>
    <w:rsid w:val="00DC26A1"/>
    <w:rsid w:val="00DC27F0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F08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5E9F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2F44"/>
    <w:rsid w:val="00E43082"/>
    <w:rsid w:val="00E43A38"/>
    <w:rsid w:val="00E43B91"/>
    <w:rsid w:val="00E43FD6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E85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5A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EC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797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1FD9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31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33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331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4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9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0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97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5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17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43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2021-05-11T14:54:00Z</dcterms:modified>
</cp:coreProperties>
</file>